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87" w:type="dxa"/>
        <w:tblInd w:w="93" w:type="dxa"/>
        <w:tblLook w:val="04A0" w:firstRow="1" w:lastRow="0" w:firstColumn="1" w:lastColumn="0" w:noHBand="0" w:noVBand="1"/>
      </w:tblPr>
      <w:tblGrid>
        <w:gridCol w:w="520"/>
        <w:gridCol w:w="9467"/>
      </w:tblGrid>
      <w:tr w:rsidR="00AB4BD4" w:rsidRPr="006B2AFA" w14:paraId="0CDCB1A6" w14:textId="77777777" w:rsidTr="00AB4BD4">
        <w:trPr>
          <w:trHeight w:val="375"/>
        </w:trPr>
        <w:tc>
          <w:tcPr>
            <w:tcW w:w="520" w:type="dxa"/>
            <w:tcBorders>
              <w:top w:val="nil"/>
              <w:left w:val="nil"/>
              <w:bottom w:val="nil"/>
              <w:right w:val="nil"/>
            </w:tcBorders>
            <w:shd w:val="clear" w:color="auto" w:fill="auto"/>
            <w:noWrap/>
            <w:vAlign w:val="bottom"/>
            <w:hideMark/>
          </w:tcPr>
          <w:p w14:paraId="74B769A3"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3B5C94AB" w14:textId="146D0388" w:rsidR="00AB4BD4" w:rsidRPr="006B2AFA" w:rsidRDefault="00AB4BD4"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r>
      <w:tr w:rsidR="00AB4BD4" w:rsidRPr="006B2AFA" w14:paraId="05F23A47" w14:textId="77777777" w:rsidTr="00AB4BD4">
        <w:trPr>
          <w:trHeight w:val="300"/>
        </w:trPr>
        <w:tc>
          <w:tcPr>
            <w:tcW w:w="520" w:type="dxa"/>
            <w:tcBorders>
              <w:top w:val="nil"/>
              <w:left w:val="nil"/>
              <w:bottom w:val="nil"/>
              <w:right w:val="nil"/>
            </w:tcBorders>
            <w:shd w:val="clear" w:color="auto" w:fill="auto"/>
            <w:noWrap/>
            <w:vAlign w:val="bottom"/>
            <w:hideMark/>
          </w:tcPr>
          <w:p w14:paraId="0997EAAD"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24129942" w14:textId="77777777" w:rsidR="00AB4BD4" w:rsidRPr="006B2AFA" w:rsidRDefault="00AB4BD4" w:rsidP="006B2AFA">
            <w:pPr>
              <w:spacing w:after="0" w:line="240" w:lineRule="auto"/>
              <w:rPr>
                <w:rFonts w:ascii="Calibri" w:eastAsia="Times New Roman" w:hAnsi="Calibri" w:cs="Times New Roman"/>
                <w:color w:val="0000FF"/>
                <w:u w:val="single"/>
              </w:rPr>
            </w:pPr>
            <w:hyperlink r:id="rId7" w:history="1">
              <w:r w:rsidRPr="006B2AFA">
                <w:rPr>
                  <w:rFonts w:ascii="Calibri" w:eastAsia="Times New Roman" w:hAnsi="Calibri" w:cs="Times New Roman"/>
                  <w:color w:val="0000FF"/>
                  <w:u w:val="single"/>
                </w:rPr>
                <w:t>http://www.equator-network.org/reporting-guidelines/srqr/</w:t>
              </w:r>
            </w:hyperlink>
          </w:p>
        </w:tc>
      </w:tr>
      <w:tr w:rsidR="00AB4BD4" w:rsidRPr="006B2AFA" w14:paraId="21D87FAA" w14:textId="77777777" w:rsidTr="00AB4BD4">
        <w:trPr>
          <w:trHeight w:val="375"/>
        </w:trPr>
        <w:tc>
          <w:tcPr>
            <w:tcW w:w="520" w:type="dxa"/>
            <w:tcBorders>
              <w:top w:val="nil"/>
              <w:left w:val="nil"/>
              <w:bottom w:val="nil"/>
              <w:right w:val="nil"/>
            </w:tcBorders>
            <w:shd w:val="clear" w:color="auto" w:fill="auto"/>
            <w:noWrap/>
            <w:vAlign w:val="bottom"/>
            <w:hideMark/>
          </w:tcPr>
          <w:p w14:paraId="38B256B0"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2CB46DD0" w14:textId="77777777" w:rsidR="00AB4BD4" w:rsidRPr="006B2AFA" w:rsidRDefault="00AB4BD4" w:rsidP="006B2AFA">
            <w:pPr>
              <w:spacing w:after="0" w:line="240" w:lineRule="auto"/>
              <w:rPr>
                <w:rFonts w:ascii="Calibri" w:eastAsia="Times New Roman" w:hAnsi="Calibri" w:cs="Times New Roman"/>
                <w:b/>
                <w:bCs/>
                <w:color w:val="000000"/>
                <w:sz w:val="28"/>
                <w:szCs w:val="28"/>
              </w:rPr>
            </w:pPr>
          </w:p>
        </w:tc>
      </w:tr>
      <w:tr w:rsidR="00AB4BD4" w:rsidRPr="006B2AFA" w14:paraId="1B8639AE" w14:textId="77777777" w:rsidTr="00AB4BD4">
        <w:trPr>
          <w:trHeight w:val="300"/>
        </w:trPr>
        <w:tc>
          <w:tcPr>
            <w:tcW w:w="9987" w:type="dxa"/>
            <w:gridSpan w:val="2"/>
            <w:tcBorders>
              <w:top w:val="nil"/>
              <w:left w:val="nil"/>
              <w:bottom w:val="nil"/>
              <w:right w:val="nil"/>
            </w:tcBorders>
            <w:shd w:val="clear" w:color="auto" w:fill="auto"/>
            <w:noWrap/>
            <w:vAlign w:val="bottom"/>
            <w:hideMark/>
          </w:tcPr>
          <w:p w14:paraId="09A65F86" w14:textId="77777777" w:rsidR="00AB4BD4" w:rsidRPr="006B2AFA" w:rsidRDefault="00AB4BD4"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r>
      <w:tr w:rsidR="00AB4BD4" w:rsidRPr="006B2AFA" w14:paraId="51F6BDC3" w14:textId="77777777" w:rsidTr="00AB4BD4">
        <w:trPr>
          <w:trHeight w:val="1200"/>
        </w:trPr>
        <w:tc>
          <w:tcPr>
            <w:tcW w:w="520" w:type="dxa"/>
            <w:tcBorders>
              <w:top w:val="nil"/>
              <w:left w:val="nil"/>
              <w:bottom w:val="nil"/>
              <w:right w:val="nil"/>
            </w:tcBorders>
            <w:shd w:val="clear" w:color="auto" w:fill="auto"/>
            <w:noWrap/>
            <w:vAlign w:val="bottom"/>
            <w:hideMark/>
          </w:tcPr>
          <w:p w14:paraId="075F9624"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0C67415" w14:textId="3D5E385E"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 </w:t>
            </w: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w:t>
            </w:r>
            <w:r w:rsidR="00731B4E" w:rsidRPr="006B2AFA">
              <w:rPr>
                <w:rFonts w:ascii="Calibri" w:eastAsia="Times New Roman" w:hAnsi="Calibri" w:cs="Times New Roman"/>
                <w:color w:val="000000"/>
              </w:rPr>
              <w:t>recommended.</w:t>
            </w:r>
          </w:p>
          <w:p w14:paraId="790F92F4" w14:textId="41D33763" w:rsidR="00AB4BD4" w:rsidRPr="00F23DDA" w:rsidRDefault="00AB4BD4" w:rsidP="00F23DDA">
            <w:pPr>
              <w:pStyle w:val="ListParagraph"/>
              <w:numPr>
                <w:ilvl w:val="0"/>
                <w:numId w:val="2"/>
              </w:numPr>
              <w:spacing w:line="240" w:lineRule="auto"/>
              <w:rPr>
                <w:rFonts w:ascii="Times New Roman" w:hAnsi="Times New Roman" w:cs="Times New Roman"/>
              </w:rPr>
            </w:pPr>
            <w:r w:rsidRPr="00F23DDA">
              <w:rPr>
                <w:rFonts w:ascii="Times New Roman" w:hAnsi="Times New Roman" w:cs="Times New Roman"/>
              </w:rPr>
              <w:t>Simulation Psychological Safety Ecosystem: Using Constructivist Grounded</w:t>
            </w:r>
            <w:r w:rsidRPr="00F23DDA">
              <w:rPr>
                <w:rFonts w:ascii="Times New Roman" w:hAnsi="Times New Roman" w:cs="Times New Roman"/>
              </w:rPr>
              <w:t xml:space="preserve"> </w:t>
            </w:r>
            <w:r w:rsidRPr="00F23DDA">
              <w:rPr>
                <w:rFonts w:ascii="Times New Roman" w:hAnsi="Times New Roman" w:cs="Times New Roman"/>
              </w:rPr>
              <w:t>Theory to Explore Nurses’ Experiences with Prelicensure Simulation</w:t>
            </w:r>
          </w:p>
        </w:tc>
      </w:tr>
      <w:tr w:rsidR="00AB4BD4" w:rsidRPr="006B2AFA" w14:paraId="01CFDA72" w14:textId="77777777" w:rsidTr="00AB4BD4">
        <w:trPr>
          <w:trHeight w:val="900"/>
        </w:trPr>
        <w:tc>
          <w:tcPr>
            <w:tcW w:w="520" w:type="dxa"/>
            <w:tcBorders>
              <w:top w:val="nil"/>
              <w:left w:val="nil"/>
              <w:bottom w:val="nil"/>
              <w:right w:val="nil"/>
            </w:tcBorders>
            <w:shd w:val="clear" w:color="auto" w:fill="auto"/>
            <w:noWrap/>
            <w:vAlign w:val="bottom"/>
            <w:hideMark/>
          </w:tcPr>
          <w:p w14:paraId="01DAD263"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7C802B67" w14:textId="1D5412B4"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S2 </w:t>
            </w:r>
            <w:r w:rsidR="00731B4E" w:rsidRPr="006B2AFA">
              <w:rPr>
                <w:rFonts w:ascii="Calibri" w:eastAsia="Times New Roman" w:hAnsi="Calibri" w:cs="Times New Roman"/>
                <w:b/>
                <w:bCs/>
                <w:color w:val="000000"/>
              </w:rPr>
              <w:t>Abstract</w:t>
            </w:r>
            <w:r w:rsidR="00731B4E" w:rsidRPr="006B2AFA">
              <w:rPr>
                <w:rFonts w:ascii="Calibri" w:eastAsia="Times New Roman" w:hAnsi="Calibri" w:cs="Times New Roman"/>
                <w:color w:val="000000"/>
              </w:rPr>
              <w:t xml:space="preserve"> -</w:t>
            </w:r>
            <w:r w:rsidRPr="006B2AFA">
              <w:rPr>
                <w:rFonts w:ascii="Calibri" w:eastAsia="Times New Roman" w:hAnsi="Calibri" w:cs="Times New Roman"/>
                <w:color w:val="000000"/>
              </w:rPr>
              <w:t xml:space="preserve"> Summary of key elements of the study using the abstract format of the intended publication; typically includes background, purpose, methods, results, and </w:t>
            </w:r>
            <w:r w:rsidR="00731B4E" w:rsidRPr="006B2AFA">
              <w:rPr>
                <w:rFonts w:ascii="Calibri" w:eastAsia="Times New Roman" w:hAnsi="Calibri" w:cs="Times New Roman"/>
                <w:color w:val="000000"/>
              </w:rPr>
              <w:t>conclusions.</w:t>
            </w:r>
          </w:p>
          <w:p w14:paraId="42C5CCB2" w14:textId="4BE660BB" w:rsidR="00AB4BD4" w:rsidRPr="00F23DDA" w:rsidRDefault="00AB4BD4" w:rsidP="00F23DDA">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Abstract follows recommended guidelines for Introduction, Methods, Results and Discussion, and is written in past tense per journal guidelines</w:t>
            </w:r>
          </w:p>
        </w:tc>
      </w:tr>
      <w:tr w:rsidR="00AB4BD4" w:rsidRPr="006B2AFA" w14:paraId="03AEAEF6" w14:textId="77777777" w:rsidTr="00AB4BD4">
        <w:trPr>
          <w:trHeight w:val="300"/>
        </w:trPr>
        <w:tc>
          <w:tcPr>
            <w:tcW w:w="520" w:type="dxa"/>
            <w:tcBorders>
              <w:top w:val="nil"/>
              <w:left w:val="nil"/>
              <w:bottom w:val="nil"/>
              <w:right w:val="nil"/>
            </w:tcBorders>
            <w:shd w:val="clear" w:color="auto" w:fill="auto"/>
            <w:noWrap/>
            <w:vAlign w:val="bottom"/>
            <w:hideMark/>
          </w:tcPr>
          <w:p w14:paraId="1DFBEADC"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646DAA2D" w14:textId="77777777" w:rsidR="00AB4BD4" w:rsidRPr="006B2AFA" w:rsidRDefault="00AB4BD4" w:rsidP="006B2AFA">
            <w:pPr>
              <w:spacing w:after="0" w:line="240" w:lineRule="auto"/>
              <w:rPr>
                <w:rFonts w:ascii="Calibri" w:eastAsia="Times New Roman" w:hAnsi="Calibri" w:cs="Times New Roman"/>
                <w:color w:val="000000"/>
              </w:rPr>
            </w:pPr>
          </w:p>
        </w:tc>
      </w:tr>
      <w:tr w:rsidR="00AB4BD4" w:rsidRPr="006B2AFA" w14:paraId="6D456DBD" w14:textId="77777777" w:rsidTr="00AB4BD4">
        <w:trPr>
          <w:trHeight w:val="300"/>
        </w:trPr>
        <w:tc>
          <w:tcPr>
            <w:tcW w:w="9987" w:type="dxa"/>
            <w:gridSpan w:val="2"/>
            <w:tcBorders>
              <w:top w:val="nil"/>
              <w:left w:val="nil"/>
              <w:bottom w:val="nil"/>
              <w:right w:val="nil"/>
            </w:tcBorders>
            <w:shd w:val="clear" w:color="auto" w:fill="auto"/>
            <w:noWrap/>
            <w:vAlign w:val="bottom"/>
            <w:hideMark/>
          </w:tcPr>
          <w:p w14:paraId="5F7AD24E" w14:textId="77777777" w:rsidR="00AB4BD4" w:rsidRPr="006B2AFA" w:rsidRDefault="00AB4BD4"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r>
      <w:tr w:rsidR="00AB4BD4" w:rsidRPr="006B2AFA" w14:paraId="2C4534DD" w14:textId="77777777" w:rsidTr="00AB4BD4">
        <w:trPr>
          <w:trHeight w:val="900"/>
        </w:trPr>
        <w:tc>
          <w:tcPr>
            <w:tcW w:w="520" w:type="dxa"/>
            <w:tcBorders>
              <w:top w:val="nil"/>
              <w:left w:val="nil"/>
              <w:bottom w:val="nil"/>
              <w:right w:val="nil"/>
            </w:tcBorders>
            <w:shd w:val="clear" w:color="auto" w:fill="auto"/>
            <w:noWrap/>
            <w:vAlign w:val="bottom"/>
            <w:hideMark/>
          </w:tcPr>
          <w:p w14:paraId="1B8FCCD8"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97364D3" w14:textId="2FBDBEF9"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S3 </w:t>
            </w: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w:t>
            </w:r>
            <w:r w:rsidR="00731B4E" w:rsidRPr="006B2AFA">
              <w:rPr>
                <w:rFonts w:ascii="Calibri" w:eastAsia="Times New Roman" w:hAnsi="Calibri" w:cs="Times New Roman"/>
                <w:color w:val="000000"/>
              </w:rPr>
              <w:t>statement.</w:t>
            </w:r>
          </w:p>
          <w:p w14:paraId="76B24492" w14:textId="100A27BC" w:rsidR="00AB4BD4" w:rsidRPr="00F23DDA" w:rsidRDefault="00AB4BD4" w:rsidP="00F23DDA">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Introduction section follows problem, gap, hook heuristic by defining psychological safety, reviewing </w:t>
            </w:r>
            <w:proofErr w:type="gramStart"/>
            <w:r w:rsidR="00DA0E13">
              <w:rPr>
                <w:rFonts w:ascii="Calibri" w:eastAsia="Times New Roman" w:hAnsi="Calibri" w:cs="Times New Roman"/>
                <w:color w:val="000000"/>
              </w:rPr>
              <w:t>recommendations</w:t>
            </w:r>
            <w:proofErr w:type="gramEnd"/>
            <w:r w:rsidR="00DA0E13">
              <w:rPr>
                <w:rFonts w:ascii="Calibri" w:eastAsia="Times New Roman" w:hAnsi="Calibri" w:cs="Times New Roman"/>
                <w:color w:val="000000"/>
              </w:rPr>
              <w:t xml:space="preserve"> </w:t>
            </w:r>
            <w:r>
              <w:rPr>
                <w:rFonts w:ascii="Calibri" w:eastAsia="Times New Roman" w:hAnsi="Calibri" w:cs="Times New Roman"/>
                <w:color w:val="000000"/>
              </w:rPr>
              <w:t>and identif</w:t>
            </w:r>
            <w:r w:rsidR="00DA0E13">
              <w:rPr>
                <w:rFonts w:ascii="Calibri" w:eastAsia="Times New Roman" w:hAnsi="Calibri" w:cs="Times New Roman"/>
                <w:color w:val="000000"/>
              </w:rPr>
              <w:t>ying</w:t>
            </w:r>
            <w:r>
              <w:rPr>
                <w:rFonts w:ascii="Calibri" w:eastAsia="Times New Roman" w:hAnsi="Calibri" w:cs="Times New Roman"/>
                <w:color w:val="000000"/>
              </w:rPr>
              <w:t xml:space="preserve"> impact/gaps, and stating that the study will provide suggestions to ameliorate these gaps. </w:t>
            </w:r>
          </w:p>
        </w:tc>
      </w:tr>
      <w:tr w:rsidR="00AB4BD4" w:rsidRPr="006B2AFA" w14:paraId="71C5B378" w14:textId="77777777" w:rsidTr="00AB4BD4">
        <w:trPr>
          <w:trHeight w:val="600"/>
        </w:trPr>
        <w:tc>
          <w:tcPr>
            <w:tcW w:w="520" w:type="dxa"/>
            <w:tcBorders>
              <w:top w:val="nil"/>
              <w:left w:val="nil"/>
              <w:bottom w:val="nil"/>
              <w:right w:val="nil"/>
            </w:tcBorders>
            <w:shd w:val="clear" w:color="auto" w:fill="auto"/>
            <w:noWrap/>
            <w:vAlign w:val="bottom"/>
            <w:hideMark/>
          </w:tcPr>
          <w:p w14:paraId="7609CE8F"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64CAE3D2" w14:textId="2320788F"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S4 </w:t>
            </w: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r w:rsidR="00731B4E">
              <w:rPr>
                <w:rFonts w:ascii="Calibri" w:eastAsia="Times New Roman" w:hAnsi="Calibri" w:cs="Times New Roman"/>
                <w:color w:val="000000"/>
              </w:rPr>
              <w:t>.</w:t>
            </w:r>
          </w:p>
          <w:p w14:paraId="714640B4" w14:textId="595F2B10" w:rsidR="00AB4BD4" w:rsidRPr="00F23DDA" w:rsidRDefault="00AB4BD4" w:rsidP="00F23DDA">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Research question: What was the nursing students’ experience of psychological safety in their prelicensure SBE programs. </w:t>
            </w:r>
          </w:p>
        </w:tc>
      </w:tr>
      <w:tr w:rsidR="00AB4BD4" w:rsidRPr="006B2AFA" w14:paraId="009EF33B" w14:textId="77777777" w:rsidTr="00AB4BD4">
        <w:trPr>
          <w:trHeight w:val="300"/>
        </w:trPr>
        <w:tc>
          <w:tcPr>
            <w:tcW w:w="520" w:type="dxa"/>
            <w:tcBorders>
              <w:top w:val="nil"/>
              <w:left w:val="nil"/>
              <w:bottom w:val="nil"/>
              <w:right w:val="nil"/>
            </w:tcBorders>
            <w:shd w:val="clear" w:color="auto" w:fill="auto"/>
            <w:noWrap/>
            <w:vAlign w:val="bottom"/>
            <w:hideMark/>
          </w:tcPr>
          <w:p w14:paraId="4882E8CC"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6129AAA8" w14:textId="77777777" w:rsidR="00AB4BD4" w:rsidRPr="006B2AFA" w:rsidRDefault="00AB4BD4" w:rsidP="006B2AFA">
            <w:pPr>
              <w:spacing w:after="0" w:line="240" w:lineRule="auto"/>
              <w:rPr>
                <w:rFonts w:ascii="Calibri" w:eastAsia="Times New Roman" w:hAnsi="Calibri" w:cs="Times New Roman"/>
                <w:color w:val="000000"/>
              </w:rPr>
            </w:pPr>
          </w:p>
        </w:tc>
      </w:tr>
      <w:tr w:rsidR="00AB4BD4" w:rsidRPr="006B2AFA" w14:paraId="61BFA42F" w14:textId="77777777" w:rsidTr="00AB4BD4">
        <w:trPr>
          <w:trHeight w:val="300"/>
        </w:trPr>
        <w:tc>
          <w:tcPr>
            <w:tcW w:w="9987" w:type="dxa"/>
            <w:gridSpan w:val="2"/>
            <w:tcBorders>
              <w:top w:val="nil"/>
              <w:left w:val="nil"/>
              <w:bottom w:val="nil"/>
              <w:right w:val="nil"/>
            </w:tcBorders>
            <w:shd w:val="clear" w:color="auto" w:fill="auto"/>
            <w:noWrap/>
            <w:vAlign w:val="bottom"/>
            <w:hideMark/>
          </w:tcPr>
          <w:p w14:paraId="6CE5BE33" w14:textId="77777777" w:rsidR="00AB4BD4" w:rsidRPr="006B2AFA" w:rsidRDefault="00AB4BD4"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r>
      <w:tr w:rsidR="00AB4BD4" w:rsidRPr="006B2AFA" w14:paraId="53EFD5B8" w14:textId="77777777" w:rsidTr="00AB4BD4">
        <w:trPr>
          <w:trHeight w:val="1500"/>
        </w:trPr>
        <w:tc>
          <w:tcPr>
            <w:tcW w:w="520" w:type="dxa"/>
            <w:tcBorders>
              <w:top w:val="nil"/>
              <w:left w:val="nil"/>
              <w:bottom w:val="nil"/>
              <w:right w:val="nil"/>
            </w:tcBorders>
            <w:shd w:val="clear" w:color="auto" w:fill="auto"/>
            <w:vAlign w:val="bottom"/>
            <w:hideMark/>
          </w:tcPr>
          <w:p w14:paraId="100A83C8"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79933D1" w14:textId="219D1AF9"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S5 </w:t>
            </w: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w:t>
            </w:r>
            <w:r w:rsidR="003D6CF8">
              <w:rPr>
                <w:rFonts w:ascii="Calibri" w:eastAsia="Times New Roman" w:hAnsi="Calibri" w:cs="Times New Roman"/>
                <w:color w:val="000000"/>
              </w:rPr>
              <w:t>.</w:t>
            </w:r>
          </w:p>
          <w:p w14:paraId="7E6E47ED" w14:textId="28712A27" w:rsidR="00AB4BD4" w:rsidRPr="00F23DDA" w:rsidRDefault="00DA0E13" w:rsidP="00F23DDA">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Detailed in Methods section that the</w:t>
            </w:r>
            <w:r w:rsidR="00AB4BD4">
              <w:rPr>
                <w:rFonts w:ascii="Calibri" w:eastAsia="Times New Roman" w:hAnsi="Calibri" w:cs="Times New Roman"/>
                <w:color w:val="000000"/>
              </w:rPr>
              <w:t xml:space="preserve"> constructivist grounded theory </w:t>
            </w:r>
            <w:r>
              <w:rPr>
                <w:rFonts w:ascii="Calibri" w:eastAsia="Times New Roman" w:hAnsi="Calibri" w:cs="Times New Roman"/>
                <w:color w:val="000000"/>
              </w:rPr>
              <w:t>approach</w:t>
            </w:r>
            <w:r w:rsidR="00AB4BD4">
              <w:rPr>
                <w:rFonts w:ascii="Calibri" w:eastAsia="Times New Roman" w:hAnsi="Calibri" w:cs="Times New Roman"/>
                <w:color w:val="000000"/>
              </w:rPr>
              <w:t xml:space="preserve"> was chosen to describe a social phenomenon from participants’ perspective</w:t>
            </w:r>
            <w:r w:rsidR="00731B4E">
              <w:rPr>
                <w:rFonts w:ascii="Calibri" w:eastAsia="Times New Roman" w:hAnsi="Calibri" w:cs="Times New Roman"/>
                <w:color w:val="000000"/>
              </w:rPr>
              <w:t xml:space="preserve"> since SBE learning occurs in social groups,</w:t>
            </w:r>
            <w:r w:rsidR="00AB4BD4">
              <w:rPr>
                <w:rFonts w:ascii="Calibri" w:eastAsia="Times New Roman" w:hAnsi="Calibri" w:cs="Times New Roman"/>
                <w:color w:val="000000"/>
              </w:rPr>
              <w:t xml:space="preserve"> and </w:t>
            </w:r>
            <w:r w:rsidR="00731B4E">
              <w:rPr>
                <w:rFonts w:ascii="Calibri" w:eastAsia="Times New Roman" w:hAnsi="Calibri" w:cs="Times New Roman"/>
                <w:color w:val="000000"/>
              </w:rPr>
              <w:t xml:space="preserve">this approach </w:t>
            </w:r>
            <w:r w:rsidR="00AB4BD4">
              <w:rPr>
                <w:rFonts w:ascii="Calibri" w:eastAsia="Times New Roman" w:hAnsi="Calibri" w:cs="Times New Roman"/>
                <w:color w:val="000000"/>
              </w:rPr>
              <w:t xml:space="preserve">matches worldview of first author. </w:t>
            </w:r>
          </w:p>
        </w:tc>
      </w:tr>
      <w:tr w:rsidR="00AB4BD4" w:rsidRPr="006B2AFA" w14:paraId="663EEF30" w14:textId="77777777" w:rsidTr="00AB4BD4">
        <w:trPr>
          <w:trHeight w:val="1800"/>
        </w:trPr>
        <w:tc>
          <w:tcPr>
            <w:tcW w:w="520" w:type="dxa"/>
            <w:tcBorders>
              <w:top w:val="nil"/>
              <w:left w:val="nil"/>
              <w:bottom w:val="nil"/>
              <w:right w:val="nil"/>
            </w:tcBorders>
            <w:shd w:val="clear" w:color="auto" w:fill="auto"/>
            <w:noWrap/>
            <w:vAlign w:val="bottom"/>
            <w:hideMark/>
          </w:tcPr>
          <w:p w14:paraId="32E6E7FC"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17F2066B" w14:textId="08E05803" w:rsidR="00BA4830"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S6 </w:t>
            </w: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r w:rsidR="00BA4830">
              <w:rPr>
                <w:rFonts w:ascii="Calibri" w:eastAsia="Times New Roman" w:hAnsi="Calibri" w:cs="Times New Roman"/>
                <w:color w:val="000000"/>
              </w:rPr>
              <w:t>.</w:t>
            </w:r>
          </w:p>
          <w:p w14:paraId="5F5E76DA" w14:textId="71A17E39" w:rsidR="00AB4BD4" w:rsidRPr="00AB4BD4" w:rsidRDefault="00AB4BD4" w:rsidP="006B2AFA">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Reflexivity described in</w:t>
            </w:r>
            <w:r w:rsidR="00DA0E13">
              <w:rPr>
                <w:rFonts w:ascii="Calibri" w:eastAsia="Times New Roman" w:hAnsi="Calibri" w:cs="Times New Roman"/>
                <w:color w:val="000000"/>
              </w:rPr>
              <w:t xml:space="preserve"> Methods</w:t>
            </w:r>
            <w:r>
              <w:rPr>
                <w:rFonts w:ascii="Calibri" w:eastAsia="Times New Roman" w:hAnsi="Calibri" w:cs="Times New Roman"/>
                <w:color w:val="000000"/>
              </w:rPr>
              <w:t xml:space="preserve"> section in manuscript that includes the researchers experience with simulation and previous classical grounded theory work</w:t>
            </w:r>
            <w:r w:rsidR="00BA4830">
              <w:rPr>
                <w:rFonts w:ascii="Calibri" w:eastAsia="Times New Roman" w:hAnsi="Calibri" w:cs="Times New Roman"/>
                <w:color w:val="000000"/>
              </w:rPr>
              <w:t>.</w:t>
            </w:r>
          </w:p>
        </w:tc>
      </w:tr>
      <w:tr w:rsidR="00AB4BD4" w:rsidRPr="006B2AFA" w14:paraId="095625C6" w14:textId="77777777" w:rsidTr="00AB4BD4">
        <w:trPr>
          <w:trHeight w:val="300"/>
        </w:trPr>
        <w:tc>
          <w:tcPr>
            <w:tcW w:w="520" w:type="dxa"/>
            <w:tcBorders>
              <w:top w:val="nil"/>
              <w:left w:val="nil"/>
              <w:bottom w:val="nil"/>
              <w:right w:val="nil"/>
            </w:tcBorders>
            <w:shd w:val="clear" w:color="auto" w:fill="auto"/>
            <w:noWrap/>
            <w:vAlign w:val="bottom"/>
            <w:hideMark/>
          </w:tcPr>
          <w:p w14:paraId="176AEE17"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7453A11B" w14:textId="651C4718" w:rsidR="00BA4830"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S7 </w:t>
            </w: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w:t>
            </w:r>
          </w:p>
          <w:p w14:paraId="7C3CA02C" w14:textId="18528C23" w:rsidR="00731B4E" w:rsidRPr="00731B4E" w:rsidRDefault="00731B4E" w:rsidP="00731B4E">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This was described in Participant sub-heading </w:t>
            </w:r>
            <w:r w:rsidR="00DA0E13">
              <w:rPr>
                <w:rFonts w:ascii="Calibri" w:eastAsia="Times New Roman" w:hAnsi="Calibri" w:cs="Times New Roman"/>
                <w:color w:val="000000"/>
              </w:rPr>
              <w:t xml:space="preserve">of Methods section </w:t>
            </w:r>
            <w:r>
              <w:rPr>
                <w:rFonts w:ascii="Calibri" w:eastAsia="Times New Roman" w:hAnsi="Calibri" w:cs="Times New Roman"/>
                <w:color w:val="000000"/>
              </w:rPr>
              <w:t xml:space="preserve">to include nurses who graduated from </w:t>
            </w:r>
            <w:r w:rsidR="003D6CF8">
              <w:rPr>
                <w:rFonts w:ascii="Calibri" w:eastAsia="Times New Roman" w:hAnsi="Calibri" w:cs="Times New Roman"/>
                <w:color w:val="000000"/>
              </w:rPr>
              <w:t xml:space="preserve">U.S nursing </w:t>
            </w:r>
            <w:r>
              <w:rPr>
                <w:rFonts w:ascii="Calibri" w:eastAsia="Times New Roman" w:hAnsi="Calibri" w:cs="Times New Roman"/>
                <w:color w:val="000000"/>
              </w:rPr>
              <w:t>school</w:t>
            </w:r>
            <w:r w:rsidR="003D6CF8">
              <w:rPr>
                <w:rFonts w:ascii="Calibri" w:eastAsia="Times New Roman" w:hAnsi="Calibri" w:cs="Times New Roman"/>
                <w:color w:val="000000"/>
              </w:rPr>
              <w:t>s</w:t>
            </w:r>
            <w:r>
              <w:rPr>
                <w:rFonts w:ascii="Calibri" w:eastAsia="Times New Roman" w:hAnsi="Calibri" w:cs="Times New Roman"/>
                <w:color w:val="000000"/>
              </w:rPr>
              <w:t xml:space="preserve"> in past 24 months and had experienced live simulation in their prelicensure program. </w:t>
            </w:r>
          </w:p>
        </w:tc>
      </w:tr>
      <w:tr w:rsidR="00AB4BD4" w:rsidRPr="006B2AFA" w14:paraId="20B7D902" w14:textId="77777777" w:rsidTr="00AB4BD4">
        <w:trPr>
          <w:trHeight w:val="900"/>
        </w:trPr>
        <w:tc>
          <w:tcPr>
            <w:tcW w:w="520" w:type="dxa"/>
            <w:tcBorders>
              <w:top w:val="nil"/>
              <w:left w:val="nil"/>
              <w:bottom w:val="nil"/>
              <w:right w:val="nil"/>
            </w:tcBorders>
            <w:shd w:val="clear" w:color="auto" w:fill="auto"/>
            <w:noWrap/>
            <w:vAlign w:val="bottom"/>
            <w:hideMark/>
          </w:tcPr>
          <w:p w14:paraId="48F3DA85"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2645DB09" w14:textId="40E67B7D" w:rsidR="00BA4830"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S8 </w:t>
            </w: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w:t>
            </w:r>
            <w:r w:rsidR="003D6CF8">
              <w:rPr>
                <w:rFonts w:ascii="Calibri" w:eastAsia="Times New Roman" w:hAnsi="Calibri" w:cs="Times New Roman"/>
                <w:color w:val="000000"/>
              </w:rPr>
              <w:t>.</w:t>
            </w:r>
          </w:p>
          <w:p w14:paraId="4E1305FE" w14:textId="43E3A94F" w:rsidR="00731B4E" w:rsidRPr="00731B4E" w:rsidRDefault="00731B4E" w:rsidP="00731B4E">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Sampling strategy described in </w:t>
            </w:r>
            <w:r w:rsidR="00DA0E13">
              <w:rPr>
                <w:rFonts w:ascii="Calibri" w:eastAsia="Times New Roman" w:hAnsi="Calibri" w:cs="Times New Roman"/>
                <w:color w:val="000000"/>
              </w:rPr>
              <w:t>M</w:t>
            </w:r>
            <w:r>
              <w:rPr>
                <w:rFonts w:ascii="Calibri" w:eastAsia="Times New Roman" w:hAnsi="Calibri" w:cs="Times New Roman"/>
                <w:color w:val="000000"/>
              </w:rPr>
              <w:t xml:space="preserve">ethods section under Sampling Strategy subheading. </w:t>
            </w:r>
          </w:p>
        </w:tc>
      </w:tr>
      <w:tr w:rsidR="00AB4BD4" w:rsidRPr="006B2AFA" w14:paraId="04848E8F" w14:textId="77777777" w:rsidTr="00AB4BD4">
        <w:trPr>
          <w:trHeight w:val="900"/>
        </w:trPr>
        <w:tc>
          <w:tcPr>
            <w:tcW w:w="520" w:type="dxa"/>
            <w:tcBorders>
              <w:top w:val="nil"/>
              <w:left w:val="nil"/>
              <w:bottom w:val="nil"/>
              <w:right w:val="nil"/>
            </w:tcBorders>
            <w:shd w:val="clear" w:color="auto" w:fill="auto"/>
            <w:noWrap/>
            <w:vAlign w:val="bottom"/>
            <w:hideMark/>
          </w:tcPr>
          <w:p w14:paraId="480CDE6B"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0A4658C6"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S9 </w:t>
            </w: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xml:space="preserve">- Documentation of approval by an appropriate ethics review board and participant consent, or explanation for lack thereof; other confidentiality and data security </w:t>
            </w:r>
            <w:proofErr w:type="gramStart"/>
            <w:r w:rsidRPr="006B2AFA">
              <w:rPr>
                <w:rFonts w:ascii="Calibri" w:eastAsia="Times New Roman" w:hAnsi="Calibri" w:cs="Times New Roman"/>
                <w:color w:val="000000"/>
              </w:rPr>
              <w:t>issues</w:t>
            </w:r>
            <w:proofErr w:type="gramEnd"/>
          </w:p>
          <w:p w14:paraId="30BD8DA8" w14:textId="4B4DD3D5" w:rsidR="00BA4830" w:rsidRPr="00BA4830" w:rsidRDefault="00DA0E13" w:rsidP="00BA4830">
            <w:pPr>
              <w:pStyle w:val="ListParagraph"/>
              <w:numPr>
                <w:ilvl w:val="0"/>
                <w:numId w:val="2"/>
              </w:numPr>
              <w:spacing w:line="240" w:lineRule="auto"/>
              <w:rPr>
                <w:rFonts w:ascii="Times New Roman" w:hAnsi="Times New Roman" w:cs="Times New Roman"/>
                <w:b/>
                <w:bCs/>
              </w:rPr>
            </w:pPr>
            <w:r>
              <w:rPr>
                <w:rFonts w:ascii="Times New Roman" w:hAnsi="Times New Roman" w:cs="Times New Roman"/>
              </w:rPr>
              <w:lastRenderedPageBreak/>
              <w:t xml:space="preserve">Found in Methods section and in post-manuscript attestations: </w:t>
            </w:r>
            <w:r w:rsidR="00BA4830" w:rsidRPr="00BA4830">
              <w:rPr>
                <w:rFonts w:ascii="Times New Roman" w:hAnsi="Times New Roman" w:cs="Times New Roman"/>
              </w:rPr>
              <w:t xml:space="preserve">This research was approved by the Loyola University Chicago Institutional Review Board (213702), and written informed consent was obtained from all participants. </w:t>
            </w:r>
          </w:p>
        </w:tc>
      </w:tr>
      <w:tr w:rsidR="00AB4BD4" w:rsidRPr="006B2AFA" w14:paraId="3AA2DC28" w14:textId="77777777" w:rsidTr="00AB4BD4">
        <w:trPr>
          <w:trHeight w:val="1200"/>
        </w:trPr>
        <w:tc>
          <w:tcPr>
            <w:tcW w:w="520" w:type="dxa"/>
            <w:tcBorders>
              <w:top w:val="nil"/>
              <w:left w:val="nil"/>
              <w:bottom w:val="nil"/>
              <w:right w:val="nil"/>
            </w:tcBorders>
            <w:shd w:val="clear" w:color="auto" w:fill="auto"/>
            <w:noWrap/>
            <w:vAlign w:val="bottom"/>
            <w:hideMark/>
          </w:tcPr>
          <w:p w14:paraId="6C5DC49C"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1FA1073A" w14:textId="7D56DFB3"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S10 </w:t>
            </w: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w:t>
            </w:r>
            <w:r w:rsidR="003D6CF8">
              <w:rPr>
                <w:rFonts w:ascii="Calibri" w:eastAsia="Times New Roman" w:hAnsi="Calibri" w:cs="Times New Roman"/>
                <w:color w:val="000000"/>
              </w:rPr>
              <w:t>.</w:t>
            </w:r>
          </w:p>
          <w:p w14:paraId="644C8B82" w14:textId="3EB0185F" w:rsidR="00DA0E13" w:rsidRPr="00DA0E13" w:rsidRDefault="00DA0E13" w:rsidP="00DA0E13">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Described in Data Collection</w:t>
            </w:r>
            <w:r w:rsidR="003D6CF8">
              <w:rPr>
                <w:rFonts w:ascii="Calibri" w:eastAsia="Times New Roman" w:hAnsi="Calibri" w:cs="Times New Roman"/>
                <w:color w:val="000000"/>
              </w:rPr>
              <w:t xml:space="preserve"> and Analysis</w:t>
            </w:r>
            <w:r>
              <w:rPr>
                <w:rFonts w:ascii="Calibri" w:eastAsia="Times New Roman" w:hAnsi="Calibri" w:cs="Times New Roman"/>
                <w:color w:val="000000"/>
              </w:rPr>
              <w:t xml:space="preserve"> of Methods section that describes interview process that includes dates and descriptions of coding and analysis</w:t>
            </w:r>
            <w:r w:rsidR="003D6CF8">
              <w:rPr>
                <w:rFonts w:ascii="Calibri" w:eastAsia="Times New Roman" w:hAnsi="Calibri" w:cs="Times New Roman"/>
                <w:color w:val="000000"/>
              </w:rPr>
              <w:t xml:space="preserve"> that included use of field notes and memos. </w:t>
            </w:r>
            <w:r>
              <w:rPr>
                <w:rFonts w:ascii="Calibri" w:eastAsia="Times New Roman" w:hAnsi="Calibri" w:cs="Times New Roman"/>
                <w:color w:val="000000"/>
              </w:rPr>
              <w:t xml:space="preserve"> </w:t>
            </w:r>
          </w:p>
        </w:tc>
      </w:tr>
      <w:tr w:rsidR="00AB4BD4" w:rsidRPr="006B2AFA" w14:paraId="004E44A1" w14:textId="77777777" w:rsidTr="00AB4BD4">
        <w:trPr>
          <w:trHeight w:val="1200"/>
        </w:trPr>
        <w:tc>
          <w:tcPr>
            <w:tcW w:w="520" w:type="dxa"/>
            <w:tcBorders>
              <w:top w:val="nil"/>
              <w:left w:val="nil"/>
              <w:bottom w:val="nil"/>
              <w:right w:val="nil"/>
            </w:tcBorders>
            <w:shd w:val="clear" w:color="auto" w:fill="auto"/>
            <w:noWrap/>
            <w:vAlign w:val="bottom"/>
            <w:hideMark/>
          </w:tcPr>
          <w:p w14:paraId="14E4CE6A"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09929D95" w14:textId="7E995D32"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S11 </w:t>
            </w: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p w14:paraId="28CF70DB" w14:textId="04E9F13F" w:rsidR="00DA0E13" w:rsidRPr="00DA0E13" w:rsidRDefault="00DA0E13" w:rsidP="00DA0E13">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Instruments included as supplemental materials.  Interview guide was modified based on recommendation from participant that we modify to include specific questions about relationships with peers and instructors. </w:t>
            </w:r>
          </w:p>
        </w:tc>
      </w:tr>
      <w:tr w:rsidR="00AB4BD4" w:rsidRPr="006B2AFA" w14:paraId="5C2A0510" w14:textId="77777777" w:rsidTr="00AB4BD4">
        <w:trPr>
          <w:trHeight w:val="900"/>
        </w:trPr>
        <w:tc>
          <w:tcPr>
            <w:tcW w:w="520" w:type="dxa"/>
            <w:tcBorders>
              <w:top w:val="nil"/>
              <w:left w:val="nil"/>
              <w:bottom w:val="nil"/>
              <w:right w:val="nil"/>
            </w:tcBorders>
            <w:shd w:val="clear" w:color="auto" w:fill="auto"/>
            <w:noWrap/>
            <w:vAlign w:val="bottom"/>
            <w:hideMark/>
          </w:tcPr>
          <w:p w14:paraId="55AB94B3"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1C2D5910"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S12 </w:t>
            </w: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p w14:paraId="32748A6B" w14:textId="127A0B41" w:rsidR="00DA0E13" w:rsidRPr="00DA0E13" w:rsidRDefault="00DA0E13" w:rsidP="00DA0E13">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17 participants and their pseudonyms and brief demographics are detailed in Table 1.  Narrative description of their simulation experience is included in the participant subheading of the Methods section. </w:t>
            </w:r>
          </w:p>
        </w:tc>
      </w:tr>
      <w:tr w:rsidR="00AB4BD4" w:rsidRPr="006B2AFA" w14:paraId="7F9290A1" w14:textId="77777777" w:rsidTr="00AB4BD4">
        <w:trPr>
          <w:trHeight w:val="900"/>
        </w:trPr>
        <w:tc>
          <w:tcPr>
            <w:tcW w:w="520" w:type="dxa"/>
            <w:tcBorders>
              <w:top w:val="nil"/>
              <w:left w:val="nil"/>
              <w:bottom w:val="nil"/>
              <w:right w:val="nil"/>
            </w:tcBorders>
            <w:shd w:val="clear" w:color="auto" w:fill="auto"/>
            <w:noWrap/>
            <w:vAlign w:val="bottom"/>
            <w:hideMark/>
          </w:tcPr>
          <w:p w14:paraId="53112016"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17FD5362"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S13 </w:t>
            </w: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 xml:space="preserve">identification of </w:t>
            </w:r>
            <w:proofErr w:type="gramStart"/>
            <w:r w:rsidRPr="006B2AFA">
              <w:rPr>
                <w:rFonts w:ascii="Calibri" w:eastAsia="Times New Roman" w:hAnsi="Calibri" w:cs="Times New Roman"/>
                <w:color w:val="000000"/>
              </w:rPr>
              <w:t>excerpts</w:t>
            </w:r>
            <w:proofErr w:type="gramEnd"/>
          </w:p>
          <w:p w14:paraId="5308CDB3" w14:textId="587A13E3" w:rsidR="00DA0E13" w:rsidRPr="00DA0E13" w:rsidRDefault="00DA0E13" w:rsidP="00DA0E13">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Interviews recorded and transcribed then entered into NVivo, this process is described in Data Collection and Analysis </w:t>
            </w:r>
            <w:proofErr w:type="gramStart"/>
            <w:r>
              <w:rPr>
                <w:rFonts w:ascii="Calibri" w:eastAsia="Times New Roman" w:hAnsi="Calibri" w:cs="Times New Roman"/>
                <w:color w:val="000000"/>
              </w:rPr>
              <w:t>subheading  in</w:t>
            </w:r>
            <w:proofErr w:type="gramEnd"/>
            <w:r>
              <w:rPr>
                <w:rFonts w:ascii="Calibri" w:eastAsia="Times New Roman" w:hAnsi="Calibri" w:cs="Times New Roman"/>
                <w:color w:val="000000"/>
              </w:rPr>
              <w:t xml:space="preserve"> Methods section. </w:t>
            </w:r>
          </w:p>
        </w:tc>
      </w:tr>
      <w:tr w:rsidR="00AB4BD4" w:rsidRPr="006B2AFA" w14:paraId="55DDA427" w14:textId="77777777" w:rsidTr="00AB4BD4">
        <w:trPr>
          <w:trHeight w:val="900"/>
        </w:trPr>
        <w:tc>
          <w:tcPr>
            <w:tcW w:w="520" w:type="dxa"/>
            <w:tcBorders>
              <w:top w:val="nil"/>
              <w:left w:val="nil"/>
              <w:bottom w:val="nil"/>
              <w:right w:val="nil"/>
            </w:tcBorders>
            <w:shd w:val="clear" w:color="auto" w:fill="auto"/>
            <w:noWrap/>
            <w:vAlign w:val="bottom"/>
            <w:hideMark/>
          </w:tcPr>
          <w:p w14:paraId="34C3660D"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09AD9719"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S14 </w:t>
            </w: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p w14:paraId="472EDA69" w14:textId="08D7024F" w:rsidR="003D6CF8" w:rsidRPr="003D6CF8" w:rsidRDefault="003D6CF8" w:rsidP="003D6CF8">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Data analysis followed the CGT model of </w:t>
            </w:r>
            <w:r w:rsidRPr="00552311">
              <w:rPr>
                <w:rFonts w:ascii="Times New Roman" w:hAnsi="Times New Roman" w:cs="Times New Roman"/>
              </w:rPr>
              <w:t>initial coding, focused coding, and theoretical sorting, diagramming, and integrating</w:t>
            </w:r>
            <w:r>
              <w:rPr>
                <w:rFonts w:ascii="Times New Roman" w:hAnsi="Times New Roman" w:cs="Times New Roman"/>
              </w:rPr>
              <w:t xml:space="preserve">. The description of this process and personnel is found under Data Collection and Analysis subheading in Methods section. </w:t>
            </w:r>
          </w:p>
        </w:tc>
      </w:tr>
      <w:tr w:rsidR="00AB4BD4" w:rsidRPr="006B2AFA" w14:paraId="0AEE3035" w14:textId="77777777" w:rsidTr="00AB4BD4">
        <w:trPr>
          <w:trHeight w:val="900"/>
        </w:trPr>
        <w:tc>
          <w:tcPr>
            <w:tcW w:w="520" w:type="dxa"/>
            <w:tcBorders>
              <w:top w:val="nil"/>
              <w:left w:val="nil"/>
              <w:bottom w:val="nil"/>
              <w:right w:val="nil"/>
            </w:tcBorders>
            <w:shd w:val="clear" w:color="auto" w:fill="auto"/>
            <w:noWrap/>
            <w:vAlign w:val="bottom"/>
            <w:hideMark/>
          </w:tcPr>
          <w:p w14:paraId="32EF6015"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57A9AC06" w14:textId="23E67609"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S15 </w:t>
            </w: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w:t>
            </w:r>
            <w:r w:rsidR="003D6CF8">
              <w:rPr>
                <w:rFonts w:ascii="Calibri" w:eastAsia="Times New Roman" w:hAnsi="Calibri" w:cs="Times New Roman"/>
                <w:color w:val="000000"/>
              </w:rPr>
              <w:t>.</w:t>
            </w:r>
          </w:p>
          <w:p w14:paraId="2445DF65" w14:textId="06D201FF" w:rsidR="00BA4830" w:rsidRPr="00BA4830" w:rsidRDefault="00BA4830" w:rsidP="006B2AFA">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Trustworthiness described in </w:t>
            </w:r>
            <w:r w:rsidR="003D6CF8">
              <w:rPr>
                <w:rFonts w:ascii="Calibri" w:eastAsia="Times New Roman" w:hAnsi="Calibri" w:cs="Times New Roman"/>
                <w:color w:val="000000"/>
              </w:rPr>
              <w:t>M</w:t>
            </w:r>
            <w:r>
              <w:rPr>
                <w:rFonts w:ascii="Calibri" w:eastAsia="Times New Roman" w:hAnsi="Calibri" w:cs="Times New Roman"/>
                <w:color w:val="000000"/>
              </w:rPr>
              <w:t xml:space="preserve">ethods </w:t>
            </w:r>
            <w:r w:rsidR="00DA4FBD">
              <w:rPr>
                <w:rFonts w:ascii="Calibri" w:eastAsia="Times New Roman" w:hAnsi="Calibri" w:cs="Times New Roman"/>
                <w:color w:val="000000"/>
              </w:rPr>
              <w:t>section that</w:t>
            </w:r>
            <w:r w:rsidR="003D6CF8">
              <w:rPr>
                <w:rFonts w:ascii="Calibri" w:eastAsia="Times New Roman" w:hAnsi="Calibri" w:cs="Times New Roman"/>
                <w:color w:val="000000"/>
              </w:rPr>
              <w:t xml:space="preserve"> </w:t>
            </w:r>
            <w:r>
              <w:rPr>
                <w:rFonts w:ascii="Calibri" w:eastAsia="Times New Roman" w:hAnsi="Calibri" w:cs="Times New Roman"/>
                <w:color w:val="000000"/>
              </w:rPr>
              <w:t>utiliz</w:t>
            </w:r>
            <w:r w:rsidR="003D6CF8">
              <w:rPr>
                <w:rFonts w:ascii="Calibri" w:eastAsia="Times New Roman" w:hAnsi="Calibri" w:cs="Times New Roman"/>
                <w:color w:val="000000"/>
              </w:rPr>
              <w:t xml:space="preserve">ed </w:t>
            </w:r>
            <w:r>
              <w:rPr>
                <w:rFonts w:ascii="Calibri" w:eastAsia="Times New Roman" w:hAnsi="Calibri" w:cs="Times New Roman"/>
                <w:color w:val="000000"/>
              </w:rPr>
              <w:t>criteria developed by Lincoln and Guba</w:t>
            </w:r>
            <w:r w:rsidR="003D6CF8">
              <w:rPr>
                <w:rFonts w:ascii="Calibri" w:eastAsia="Times New Roman" w:hAnsi="Calibri" w:cs="Times New Roman"/>
                <w:color w:val="000000"/>
              </w:rPr>
              <w:t>,</w:t>
            </w:r>
            <w:r>
              <w:rPr>
                <w:rFonts w:ascii="Calibri" w:eastAsia="Times New Roman" w:hAnsi="Calibri" w:cs="Times New Roman"/>
                <w:color w:val="000000"/>
              </w:rPr>
              <w:t xml:space="preserve"> that included member checking, audit trail, and multiple researchers involved in coding and constructing theory. </w:t>
            </w:r>
            <w:r w:rsidR="003D6CF8">
              <w:rPr>
                <w:rFonts w:ascii="Calibri" w:eastAsia="Times New Roman" w:hAnsi="Calibri" w:cs="Times New Roman"/>
                <w:color w:val="000000"/>
              </w:rPr>
              <w:t xml:space="preserve"> </w:t>
            </w:r>
          </w:p>
        </w:tc>
      </w:tr>
      <w:tr w:rsidR="00AB4BD4" w:rsidRPr="006B2AFA" w14:paraId="3A805A8D" w14:textId="77777777" w:rsidTr="00AB4BD4">
        <w:trPr>
          <w:trHeight w:val="300"/>
        </w:trPr>
        <w:tc>
          <w:tcPr>
            <w:tcW w:w="520" w:type="dxa"/>
            <w:tcBorders>
              <w:top w:val="nil"/>
              <w:left w:val="nil"/>
              <w:bottom w:val="nil"/>
              <w:right w:val="nil"/>
            </w:tcBorders>
            <w:shd w:val="clear" w:color="auto" w:fill="auto"/>
            <w:noWrap/>
            <w:vAlign w:val="bottom"/>
            <w:hideMark/>
          </w:tcPr>
          <w:p w14:paraId="18BD8090" w14:textId="77777777" w:rsidR="00AB4BD4" w:rsidRDefault="00AB4BD4" w:rsidP="006B2AFA">
            <w:pPr>
              <w:spacing w:after="0" w:line="240" w:lineRule="auto"/>
              <w:rPr>
                <w:rFonts w:ascii="Calibri" w:eastAsia="Times New Roman" w:hAnsi="Calibri" w:cs="Times New Roman"/>
                <w:b/>
                <w:bCs/>
                <w:color w:val="000000"/>
              </w:rPr>
            </w:pPr>
          </w:p>
          <w:p w14:paraId="63C84727" w14:textId="77777777" w:rsidR="003D6CF8" w:rsidRDefault="003D6CF8" w:rsidP="006B2AFA">
            <w:pPr>
              <w:spacing w:after="0" w:line="240" w:lineRule="auto"/>
              <w:rPr>
                <w:rFonts w:ascii="Calibri" w:eastAsia="Times New Roman" w:hAnsi="Calibri" w:cs="Times New Roman"/>
                <w:b/>
                <w:bCs/>
                <w:color w:val="000000"/>
              </w:rPr>
            </w:pPr>
          </w:p>
          <w:p w14:paraId="68A31CB8" w14:textId="77777777" w:rsidR="003D6CF8" w:rsidRDefault="003D6CF8" w:rsidP="006B2AFA">
            <w:pPr>
              <w:spacing w:after="0" w:line="240" w:lineRule="auto"/>
              <w:rPr>
                <w:rFonts w:ascii="Calibri" w:eastAsia="Times New Roman" w:hAnsi="Calibri" w:cs="Times New Roman"/>
                <w:b/>
                <w:bCs/>
                <w:color w:val="000000"/>
              </w:rPr>
            </w:pPr>
          </w:p>
          <w:p w14:paraId="6EBC08BD" w14:textId="77777777" w:rsidR="003D6CF8" w:rsidRPr="006B2AFA" w:rsidRDefault="003D6CF8"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2477468E" w14:textId="77777777" w:rsidR="00AB4BD4" w:rsidRDefault="00AB4BD4" w:rsidP="006B2AFA">
            <w:pPr>
              <w:spacing w:after="0" w:line="240" w:lineRule="auto"/>
              <w:rPr>
                <w:rFonts w:ascii="Calibri" w:eastAsia="Times New Roman" w:hAnsi="Calibri" w:cs="Times New Roman"/>
                <w:color w:val="000000"/>
              </w:rPr>
            </w:pPr>
          </w:p>
          <w:p w14:paraId="6F531612" w14:textId="77777777" w:rsidR="003D6CF8" w:rsidRDefault="003D6CF8" w:rsidP="006B2AFA">
            <w:pPr>
              <w:spacing w:after="0" w:line="240" w:lineRule="auto"/>
              <w:rPr>
                <w:rFonts w:ascii="Calibri" w:eastAsia="Times New Roman" w:hAnsi="Calibri" w:cs="Times New Roman"/>
                <w:color w:val="000000"/>
              </w:rPr>
            </w:pPr>
          </w:p>
          <w:p w14:paraId="6E3ED522" w14:textId="77777777" w:rsidR="003D6CF8" w:rsidRDefault="003D6CF8" w:rsidP="006B2AFA">
            <w:pPr>
              <w:spacing w:after="0" w:line="240" w:lineRule="auto"/>
              <w:rPr>
                <w:rFonts w:ascii="Calibri" w:eastAsia="Times New Roman" w:hAnsi="Calibri" w:cs="Times New Roman"/>
                <w:color w:val="000000"/>
              </w:rPr>
            </w:pPr>
          </w:p>
          <w:p w14:paraId="7A3A9807" w14:textId="77777777" w:rsidR="003D6CF8" w:rsidRDefault="003D6CF8" w:rsidP="006B2AFA">
            <w:pPr>
              <w:spacing w:after="0" w:line="240" w:lineRule="auto"/>
              <w:rPr>
                <w:rFonts w:ascii="Calibri" w:eastAsia="Times New Roman" w:hAnsi="Calibri" w:cs="Times New Roman"/>
                <w:color w:val="000000"/>
              </w:rPr>
            </w:pPr>
          </w:p>
          <w:p w14:paraId="257939D4" w14:textId="77777777" w:rsidR="003D6CF8" w:rsidRDefault="003D6CF8" w:rsidP="006B2AFA">
            <w:pPr>
              <w:spacing w:after="0" w:line="240" w:lineRule="auto"/>
              <w:rPr>
                <w:rFonts w:ascii="Calibri" w:eastAsia="Times New Roman" w:hAnsi="Calibri" w:cs="Times New Roman"/>
                <w:color w:val="000000"/>
              </w:rPr>
            </w:pPr>
          </w:p>
          <w:p w14:paraId="086814C8" w14:textId="77777777" w:rsidR="003D6CF8" w:rsidRDefault="003D6CF8" w:rsidP="006B2AFA">
            <w:pPr>
              <w:spacing w:after="0" w:line="240" w:lineRule="auto"/>
              <w:rPr>
                <w:rFonts w:ascii="Calibri" w:eastAsia="Times New Roman" w:hAnsi="Calibri" w:cs="Times New Roman"/>
                <w:color w:val="000000"/>
              </w:rPr>
            </w:pPr>
          </w:p>
          <w:p w14:paraId="2D7BE42B" w14:textId="77777777" w:rsidR="003D6CF8" w:rsidRDefault="003D6CF8" w:rsidP="006B2AFA">
            <w:pPr>
              <w:spacing w:after="0" w:line="240" w:lineRule="auto"/>
              <w:rPr>
                <w:rFonts w:ascii="Calibri" w:eastAsia="Times New Roman" w:hAnsi="Calibri" w:cs="Times New Roman"/>
                <w:color w:val="000000"/>
              </w:rPr>
            </w:pPr>
          </w:p>
          <w:p w14:paraId="3EA8304C" w14:textId="77777777" w:rsidR="003D6CF8" w:rsidRPr="006B2AFA" w:rsidRDefault="003D6CF8" w:rsidP="006B2AFA">
            <w:pPr>
              <w:spacing w:after="0" w:line="240" w:lineRule="auto"/>
              <w:rPr>
                <w:rFonts w:ascii="Calibri" w:eastAsia="Times New Roman" w:hAnsi="Calibri" w:cs="Times New Roman"/>
                <w:color w:val="000000"/>
              </w:rPr>
            </w:pPr>
          </w:p>
        </w:tc>
      </w:tr>
      <w:tr w:rsidR="00AB4BD4" w:rsidRPr="006B2AFA" w14:paraId="36799488" w14:textId="77777777" w:rsidTr="00AB4BD4">
        <w:trPr>
          <w:trHeight w:val="300"/>
        </w:trPr>
        <w:tc>
          <w:tcPr>
            <w:tcW w:w="9987" w:type="dxa"/>
            <w:gridSpan w:val="2"/>
            <w:tcBorders>
              <w:top w:val="nil"/>
              <w:left w:val="nil"/>
              <w:bottom w:val="nil"/>
              <w:right w:val="nil"/>
            </w:tcBorders>
            <w:shd w:val="clear" w:color="auto" w:fill="auto"/>
            <w:noWrap/>
            <w:vAlign w:val="bottom"/>
            <w:hideMark/>
          </w:tcPr>
          <w:p w14:paraId="691EB11B" w14:textId="77777777" w:rsidR="00AB4BD4" w:rsidRPr="006B2AFA" w:rsidRDefault="00AB4BD4"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r>
      <w:tr w:rsidR="00AB4BD4" w:rsidRPr="006B2AFA" w14:paraId="7C225704" w14:textId="77777777" w:rsidTr="00AB4BD4">
        <w:trPr>
          <w:trHeight w:val="900"/>
        </w:trPr>
        <w:tc>
          <w:tcPr>
            <w:tcW w:w="520" w:type="dxa"/>
            <w:tcBorders>
              <w:top w:val="nil"/>
              <w:left w:val="nil"/>
              <w:bottom w:val="nil"/>
              <w:right w:val="nil"/>
            </w:tcBorders>
            <w:shd w:val="clear" w:color="auto" w:fill="auto"/>
            <w:noWrap/>
            <w:vAlign w:val="bottom"/>
            <w:hideMark/>
          </w:tcPr>
          <w:p w14:paraId="714407DC"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D4E67AC" w14:textId="2FCF5B18" w:rsidR="003D6CF8"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S16 </w:t>
            </w: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w:t>
            </w:r>
            <w:proofErr w:type="gramStart"/>
            <w:r w:rsidRPr="006B2AFA">
              <w:rPr>
                <w:rFonts w:ascii="Calibri" w:eastAsia="Times New Roman" w:hAnsi="Calibri" w:cs="Times New Roman"/>
                <w:color w:val="000000"/>
              </w:rPr>
              <w:t>theory</w:t>
            </w:r>
            <w:proofErr w:type="gramEnd"/>
          </w:p>
          <w:p w14:paraId="59EE76AF" w14:textId="4D81CEEE" w:rsidR="003D6CF8" w:rsidRPr="003D6CF8" w:rsidRDefault="003D6CF8" w:rsidP="003D6CF8">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Found in Results section.  The main findings </w:t>
            </w:r>
            <w:proofErr w:type="gramStart"/>
            <w:r>
              <w:rPr>
                <w:rFonts w:ascii="Calibri" w:eastAsia="Times New Roman" w:hAnsi="Calibri" w:cs="Times New Roman"/>
                <w:color w:val="000000"/>
              </w:rPr>
              <w:t>is</w:t>
            </w:r>
            <w:proofErr w:type="gramEnd"/>
            <w:r>
              <w:rPr>
                <w:rFonts w:ascii="Calibri" w:eastAsia="Times New Roman" w:hAnsi="Calibri" w:cs="Times New Roman"/>
                <w:color w:val="000000"/>
              </w:rPr>
              <w:t xml:space="preserve"> development of Simulation Psychological Safety Ecosystem theory. The model describes psychological safety as complex and dynamic, with both explicit observable factors (expectations, facilitation, observation, and </w:t>
            </w:r>
            <w:r>
              <w:rPr>
                <w:rFonts w:ascii="Calibri" w:eastAsia="Times New Roman" w:hAnsi="Calibri" w:cs="Times New Roman"/>
                <w:color w:val="000000"/>
              </w:rPr>
              <w:lastRenderedPageBreak/>
              <w:t xml:space="preserve">debriefing/feedback) that can be impacted by implicit mediating variables (influence of relationships with instructors and peers, desire for meaningful learning).  These </w:t>
            </w:r>
            <w:r w:rsidR="00DA4FBD">
              <w:rPr>
                <w:rFonts w:ascii="Calibri" w:eastAsia="Times New Roman" w:hAnsi="Calibri" w:cs="Times New Roman"/>
                <w:color w:val="000000"/>
              </w:rPr>
              <w:t xml:space="preserve">interactions create a </w:t>
            </w:r>
            <w:proofErr w:type="gramStart"/>
            <w:r w:rsidR="00DA4FBD">
              <w:rPr>
                <w:rFonts w:ascii="Calibri" w:eastAsia="Times New Roman" w:hAnsi="Calibri" w:cs="Times New Roman"/>
                <w:color w:val="000000"/>
              </w:rPr>
              <w:t>participants</w:t>
            </w:r>
            <w:proofErr w:type="gramEnd"/>
            <w:r w:rsidR="00DA4FBD">
              <w:rPr>
                <w:rFonts w:ascii="Calibri" w:eastAsia="Times New Roman" w:hAnsi="Calibri" w:cs="Times New Roman"/>
                <w:color w:val="000000"/>
              </w:rPr>
              <w:t xml:space="preserve"> sense of psychological safety, ambiguity, or harm. </w:t>
            </w:r>
          </w:p>
        </w:tc>
      </w:tr>
      <w:tr w:rsidR="00AB4BD4" w:rsidRPr="006B2AFA" w14:paraId="457FE987" w14:textId="77777777" w:rsidTr="00AB4BD4">
        <w:trPr>
          <w:trHeight w:val="600"/>
        </w:trPr>
        <w:tc>
          <w:tcPr>
            <w:tcW w:w="520" w:type="dxa"/>
            <w:tcBorders>
              <w:top w:val="nil"/>
              <w:left w:val="nil"/>
              <w:bottom w:val="nil"/>
              <w:right w:val="nil"/>
            </w:tcBorders>
            <w:shd w:val="clear" w:color="auto" w:fill="auto"/>
            <w:noWrap/>
            <w:vAlign w:val="bottom"/>
            <w:hideMark/>
          </w:tcPr>
          <w:p w14:paraId="4C713375"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1322B8B2"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S17 </w:t>
            </w: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xml:space="preserve">- Evidence (e.g., quotes, field notes, text excerpts, photographs) to substantiate analytic </w:t>
            </w:r>
            <w:proofErr w:type="gramStart"/>
            <w:r w:rsidRPr="006B2AFA">
              <w:rPr>
                <w:rFonts w:ascii="Calibri" w:eastAsia="Times New Roman" w:hAnsi="Calibri" w:cs="Times New Roman"/>
                <w:color w:val="000000"/>
              </w:rPr>
              <w:t>findings</w:t>
            </w:r>
            <w:proofErr w:type="gramEnd"/>
          </w:p>
          <w:p w14:paraId="2DCFE4D9" w14:textId="0E008E60" w:rsidR="00DA4FBD" w:rsidRPr="00DA4FBD" w:rsidRDefault="00DA4FBD" w:rsidP="00DA4FBD">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Quotes for the factors and mediating variables found in Tables 2,3, and 4 </w:t>
            </w:r>
          </w:p>
        </w:tc>
      </w:tr>
      <w:tr w:rsidR="00AB4BD4" w:rsidRPr="006B2AFA" w14:paraId="14934893" w14:textId="77777777" w:rsidTr="00AB4BD4">
        <w:trPr>
          <w:trHeight w:val="300"/>
        </w:trPr>
        <w:tc>
          <w:tcPr>
            <w:tcW w:w="520" w:type="dxa"/>
            <w:tcBorders>
              <w:top w:val="nil"/>
              <w:left w:val="nil"/>
              <w:bottom w:val="nil"/>
              <w:right w:val="nil"/>
            </w:tcBorders>
            <w:shd w:val="clear" w:color="auto" w:fill="auto"/>
            <w:noWrap/>
            <w:vAlign w:val="bottom"/>
            <w:hideMark/>
          </w:tcPr>
          <w:p w14:paraId="572EBE27"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3741BD67" w14:textId="77777777" w:rsidR="00AB4BD4" w:rsidRPr="006B2AFA" w:rsidRDefault="00AB4BD4" w:rsidP="006B2AFA">
            <w:pPr>
              <w:spacing w:after="0" w:line="240" w:lineRule="auto"/>
              <w:rPr>
                <w:rFonts w:ascii="Calibri" w:eastAsia="Times New Roman" w:hAnsi="Calibri" w:cs="Times New Roman"/>
                <w:color w:val="000000"/>
              </w:rPr>
            </w:pPr>
          </w:p>
        </w:tc>
      </w:tr>
      <w:tr w:rsidR="00AB4BD4" w:rsidRPr="006B2AFA" w14:paraId="26BA0203" w14:textId="77777777" w:rsidTr="00AB4BD4">
        <w:trPr>
          <w:trHeight w:val="300"/>
        </w:trPr>
        <w:tc>
          <w:tcPr>
            <w:tcW w:w="9987" w:type="dxa"/>
            <w:gridSpan w:val="2"/>
            <w:tcBorders>
              <w:top w:val="nil"/>
              <w:left w:val="nil"/>
              <w:bottom w:val="nil"/>
              <w:right w:val="nil"/>
            </w:tcBorders>
            <w:shd w:val="clear" w:color="auto" w:fill="auto"/>
            <w:noWrap/>
            <w:vAlign w:val="bottom"/>
            <w:hideMark/>
          </w:tcPr>
          <w:p w14:paraId="7153F250" w14:textId="77777777" w:rsidR="00AB4BD4" w:rsidRPr="006B2AFA" w:rsidRDefault="00AB4BD4"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r>
      <w:tr w:rsidR="00AB4BD4" w:rsidRPr="006B2AFA" w14:paraId="1AF2A00A" w14:textId="77777777" w:rsidTr="00AB4BD4">
        <w:trPr>
          <w:trHeight w:val="1500"/>
        </w:trPr>
        <w:tc>
          <w:tcPr>
            <w:tcW w:w="520" w:type="dxa"/>
            <w:tcBorders>
              <w:top w:val="nil"/>
              <w:left w:val="nil"/>
              <w:bottom w:val="nil"/>
              <w:right w:val="nil"/>
            </w:tcBorders>
            <w:shd w:val="clear" w:color="auto" w:fill="auto"/>
            <w:noWrap/>
            <w:vAlign w:val="bottom"/>
            <w:hideMark/>
          </w:tcPr>
          <w:p w14:paraId="48EBFBC4"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0756E86"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S18 </w:t>
            </w: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 xml:space="preserve">Short summary of main findings; explanation of how findings and conclusions connect to, support, elaborate on, or challenge conclusions of earlier scholarship; discussion of scope of application/generalizability; identification of unique contribution(s) to scholarship in a discipline or </w:t>
            </w:r>
            <w:proofErr w:type="gramStart"/>
            <w:r w:rsidRPr="006B2AFA">
              <w:rPr>
                <w:rFonts w:ascii="Calibri" w:eastAsia="Times New Roman" w:hAnsi="Calibri" w:cs="Times New Roman"/>
                <w:color w:val="000000"/>
              </w:rPr>
              <w:t>field</w:t>
            </w:r>
            <w:proofErr w:type="gramEnd"/>
          </w:p>
          <w:p w14:paraId="20265D68" w14:textId="354E5577" w:rsidR="00DA4FBD" w:rsidRPr="00DA4FBD" w:rsidRDefault="00DA4FBD" w:rsidP="006B2AFA">
            <w:pPr>
              <w:pStyle w:val="ListParagraph"/>
              <w:numPr>
                <w:ilvl w:val="0"/>
                <w:numId w:val="2"/>
              </w:numPr>
              <w:spacing w:after="0" w:line="240" w:lineRule="auto"/>
              <w:rPr>
                <w:rFonts w:ascii="Calibri" w:eastAsia="Times New Roman" w:hAnsi="Calibri" w:cs="Times New Roman"/>
                <w:b/>
                <w:bCs/>
                <w:color w:val="000000"/>
              </w:rPr>
            </w:pPr>
            <w:r>
              <w:rPr>
                <w:rFonts w:ascii="Calibri" w:eastAsia="Times New Roman" w:hAnsi="Calibri" w:cs="Times New Roman"/>
                <w:color w:val="000000"/>
              </w:rPr>
              <w:t xml:space="preserve">Summary of main findings and links to current literature on psychological safety found in Discussion section.  Factor themes already established in literature and the influences of previous relationships on psychological safety is an emerging topic in nursing prelicensure simulation. </w:t>
            </w:r>
          </w:p>
        </w:tc>
      </w:tr>
      <w:tr w:rsidR="00AB4BD4" w:rsidRPr="006B2AFA" w14:paraId="139CDB98" w14:textId="77777777" w:rsidTr="00AB4BD4">
        <w:trPr>
          <w:trHeight w:val="300"/>
        </w:trPr>
        <w:tc>
          <w:tcPr>
            <w:tcW w:w="520" w:type="dxa"/>
            <w:tcBorders>
              <w:top w:val="nil"/>
              <w:left w:val="nil"/>
              <w:bottom w:val="nil"/>
              <w:right w:val="nil"/>
            </w:tcBorders>
            <w:shd w:val="clear" w:color="auto" w:fill="auto"/>
            <w:noWrap/>
            <w:vAlign w:val="bottom"/>
            <w:hideMark/>
          </w:tcPr>
          <w:p w14:paraId="68F25F18"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1A717EAC"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S19 </w:t>
            </w: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p w14:paraId="35371627" w14:textId="2C6A44C5" w:rsidR="00731B4E" w:rsidRPr="00731B4E" w:rsidRDefault="00731B4E" w:rsidP="00731B4E">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Limitation section describes limits to the study including</w:t>
            </w:r>
            <w:r w:rsidR="00BA4830">
              <w:rPr>
                <w:rFonts w:ascii="Calibri" w:eastAsia="Times New Roman" w:hAnsi="Calibri" w:cs="Times New Roman"/>
                <w:color w:val="000000"/>
              </w:rPr>
              <w:t xml:space="preserve"> traditional limits of qualitative research due to sample size, lack of non-BSN graduates in </w:t>
            </w:r>
            <w:r w:rsidR="00DA4FBD">
              <w:rPr>
                <w:rFonts w:ascii="Calibri" w:eastAsia="Times New Roman" w:hAnsi="Calibri" w:cs="Times New Roman"/>
                <w:color w:val="000000"/>
              </w:rPr>
              <w:t>sample, lack</w:t>
            </w:r>
            <w:r w:rsidR="00BA4830">
              <w:rPr>
                <w:rFonts w:ascii="Calibri" w:eastAsia="Times New Roman" w:hAnsi="Calibri" w:cs="Times New Roman"/>
                <w:color w:val="000000"/>
              </w:rPr>
              <w:t xml:space="preserve"> of nurses experiencing high-stakes assessment, potential social desirability bias, and extended recruitment period that may lead to recollection bias. </w:t>
            </w:r>
          </w:p>
        </w:tc>
      </w:tr>
      <w:tr w:rsidR="00AB4BD4" w:rsidRPr="006B2AFA" w14:paraId="3142B667" w14:textId="77777777" w:rsidTr="00AB4BD4">
        <w:trPr>
          <w:trHeight w:val="300"/>
        </w:trPr>
        <w:tc>
          <w:tcPr>
            <w:tcW w:w="520" w:type="dxa"/>
            <w:tcBorders>
              <w:top w:val="nil"/>
              <w:left w:val="nil"/>
              <w:bottom w:val="nil"/>
              <w:right w:val="nil"/>
            </w:tcBorders>
            <w:shd w:val="clear" w:color="auto" w:fill="auto"/>
            <w:noWrap/>
            <w:vAlign w:val="bottom"/>
            <w:hideMark/>
          </w:tcPr>
          <w:p w14:paraId="03A1079A"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53AD46F5" w14:textId="77777777" w:rsidR="00AB4BD4" w:rsidRPr="006B2AFA" w:rsidRDefault="00AB4BD4" w:rsidP="006B2AFA">
            <w:pPr>
              <w:spacing w:after="0" w:line="240" w:lineRule="auto"/>
              <w:rPr>
                <w:rFonts w:ascii="Calibri" w:eastAsia="Times New Roman" w:hAnsi="Calibri" w:cs="Times New Roman"/>
                <w:color w:val="000000"/>
              </w:rPr>
            </w:pPr>
          </w:p>
        </w:tc>
      </w:tr>
      <w:tr w:rsidR="00AB4BD4" w:rsidRPr="006B2AFA" w14:paraId="49A2964E" w14:textId="77777777" w:rsidTr="00AB4BD4">
        <w:trPr>
          <w:trHeight w:val="300"/>
        </w:trPr>
        <w:tc>
          <w:tcPr>
            <w:tcW w:w="9987" w:type="dxa"/>
            <w:gridSpan w:val="2"/>
            <w:tcBorders>
              <w:top w:val="nil"/>
              <w:left w:val="nil"/>
              <w:bottom w:val="nil"/>
              <w:right w:val="nil"/>
            </w:tcBorders>
            <w:shd w:val="clear" w:color="auto" w:fill="auto"/>
            <w:noWrap/>
            <w:vAlign w:val="bottom"/>
            <w:hideMark/>
          </w:tcPr>
          <w:p w14:paraId="675C48AF" w14:textId="77777777" w:rsidR="00AB4BD4" w:rsidRPr="006B2AFA" w:rsidRDefault="00AB4BD4"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r>
      <w:tr w:rsidR="00AB4BD4" w:rsidRPr="006B2AFA" w14:paraId="6BF95E8A" w14:textId="77777777" w:rsidTr="00AB4BD4">
        <w:trPr>
          <w:trHeight w:val="600"/>
        </w:trPr>
        <w:tc>
          <w:tcPr>
            <w:tcW w:w="520" w:type="dxa"/>
            <w:tcBorders>
              <w:top w:val="nil"/>
              <w:left w:val="nil"/>
              <w:bottom w:val="nil"/>
              <w:right w:val="nil"/>
            </w:tcBorders>
            <w:shd w:val="clear" w:color="auto" w:fill="auto"/>
            <w:noWrap/>
            <w:vAlign w:val="bottom"/>
            <w:hideMark/>
          </w:tcPr>
          <w:p w14:paraId="7D6CFD28"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812DB66"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S20 </w:t>
            </w: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w:t>
            </w:r>
            <w:proofErr w:type="gramStart"/>
            <w:r w:rsidRPr="006B2AFA">
              <w:rPr>
                <w:rFonts w:ascii="Calibri" w:eastAsia="Times New Roman" w:hAnsi="Calibri" w:cs="Times New Roman"/>
                <w:color w:val="000000"/>
              </w:rPr>
              <w:t>managed</w:t>
            </w:r>
            <w:proofErr w:type="gramEnd"/>
          </w:p>
          <w:p w14:paraId="5938EB07" w14:textId="46E56207" w:rsidR="00731B4E" w:rsidRPr="00731B4E" w:rsidRDefault="00731B4E" w:rsidP="00731B4E">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No conflict of interests reported, and this was documented in the post-manuscript attestation. </w:t>
            </w:r>
          </w:p>
        </w:tc>
      </w:tr>
      <w:tr w:rsidR="00AB4BD4" w:rsidRPr="006B2AFA" w14:paraId="382CBDC1" w14:textId="77777777" w:rsidTr="00AB4BD4">
        <w:trPr>
          <w:trHeight w:val="600"/>
        </w:trPr>
        <w:tc>
          <w:tcPr>
            <w:tcW w:w="520" w:type="dxa"/>
            <w:tcBorders>
              <w:top w:val="nil"/>
              <w:left w:val="nil"/>
              <w:bottom w:val="nil"/>
              <w:right w:val="nil"/>
            </w:tcBorders>
            <w:shd w:val="clear" w:color="auto" w:fill="auto"/>
            <w:noWrap/>
            <w:vAlign w:val="bottom"/>
            <w:hideMark/>
          </w:tcPr>
          <w:p w14:paraId="58ACD53C"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single" w:sz="4" w:space="0" w:color="auto"/>
              <w:bottom w:val="single" w:sz="4" w:space="0" w:color="auto"/>
              <w:right w:val="single" w:sz="4" w:space="0" w:color="auto"/>
            </w:tcBorders>
            <w:shd w:val="clear" w:color="auto" w:fill="auto"/>
            <w:vAlign w:val="bottom"/>
            <w:hideMark/>
          </w:tcPr>
          <w:p w14:paraId="263F211C" w14:textId="77777777" w:rsidR="00AB4BD4" w:rsidRDefault="00AB4BD4" w:rsidP="006B2AFA">
            <w:pPr>
              <w:spacing w:after="0" w:line="240" w:lineRule="auto"/>
              <w:rPr>
                <w:rFonts w:ascii="Calibri" w:eastAsia="Times New Roman" w:hAnsi="Calibri" w:cs="Times New Roman"/>
                <w:color w:val="000000"/>
              </w:rPr>
            </w:pPr>
            <w:r>
              <w:rPr>
                <w:rFonts w:ascii="Calibri" w:eastAsia="Times New Roman" w:hAnsi="Calibri" w:cs="Times New Roman"/>
                <w:b/>
                <w:bCs/>
                <w:color w:val="000000"/>
              </w:rPr>
              <w:t xml:space="preserve">S21 </w:t>
            </w: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p w14:paraId="797D376F" w14:textId="194F1231" w:rsidR="00731B4E" w:rsidRPr="00731B4E" w:rsidRDefault="00731B4E" w:rsidP="00731B4E">
            <w:pPr>
              <w:pStyle w:val="ListParagraph"/>
              <w:numPr>
                <w:ilvl w:val="0"/>
                <w:numId w:val="2"/>
              </w:num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No sources of funding, and this was documented in the post-manuscript attestation. </w:t>
            </w:r>
          </w:p>
        </w:tc>
      </w:tr>
      <w:tr w:rsidR="00AB4BD4" w:rsidRPr="006B2AFA" w14:paraId="73B6AC6D" w14:textId="77777777" w:rsidTr="00AB4BD4">
        <w:trPr>
          <w:trHeight w:val="300"/>
        </w:trPr>
        <w:tc>
          <w:tcPr>
            <w:tcW w:w="520" w:type="dxa"/>
            <w:tcBorders>
              <w:top w:val="nil"/>
              <w:left w:val="nil"/>
              <w:bottom w:val="nil"/>
              <w:right w:val="nil"/>
            </w:tcBorders>
            <w:shd w:val="clear" w:color="auto" w:fill="auto"/>
            <w:noWrap/>
            <w:vAlign w:val="bottom"/>
            <w:hideMark/>
          </w:tcPr>
          <w:p w14:paraId="27786B48"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51B87EA6" w14:textId="77777777" w:rsidR="00AB4BD4" w:rsidRPr="006B2AFA" w:rsidRDefault="00AB4BD4" w:rsidP="006B2AFA">
            <w:pPr>
              <w:spacing w:after="0" w:line="240" w:lineRule="auto"/>
              <w:rPr>
                <w:rFonts w:ascii="Calibri" w:eastAsia="Times New Roman" w:hAnsi="Calibri" w:cs="Times New Roman"/>
                <w:color w:val="000000"/>
              </w:rPr>
            </w:pPr>
          </w:p>
        </w:tc>
      </w:tr>
      <w:tr w:rsidR="00AB4BD4" w:rsidRPr="006B2AFA" w14:paraId="275EDD07" w14:textId="77777777" w:rsidTr="00AB4BD4">
        <w:trPr>
          <w:trHeight w:val="300"/>
        </w:trPr>
        <w:tc>
          <w:tcPr>
            <w:tcW w:w="520" w:type="dxa"/>
            <w:tcBorders>
              <w:top w:val="nil"/>
              <w:left w:val="nil"/>
              <w:bottom w:val="nil"/>
              <w:right w:val="nil"/>
            </w:tcBorders>
            <w:shd w:val="clear" w:color="auto" w:fill="auto"/>
            <w:noWrap/>
            <w:vAlign w:val="bottom"/>
            <w:hideMark/>
          </w:tcPr>
          <w:p w14:paraId="3A83B697"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6A0083DD" w14:textId="77777777" w:rsidR="00AB4BD4" w:rsidRPr="006B2AFA" w:rsidRDefault="00AB4BD4" w:rsidP="006B2AFA">
            <w:pPr>
              <w:spacing w:after="0" w:line="240" w:lineRule="auto"/>
              <w:rPr>
                <w:rFonts w:ascii="Calibri" w:eastAsia="Times New Roman" w:hAnsi="Calibri" w:cs="Times New Roman"/>
                <w:color w:val="000000"/>
              </w:rPr>
            </w:pPr>
          </w:p>
        </w:tc>
      </w:tr>
      <w:tr w:rsidR="00AB4BD4" w:rsidRPr="006B2AFA" w14:paraId="05E6C690" w14:textId="77777777" w:rsidTr="00AB4BD4">
        <w:trPr>
          <w:trHeight w:val="300"/>
        </w:trPr>
        <w:tc>
          <w:tcPr>
            <w:tcW w:w="520" w:type="dxa"/>
            <w:tcBorders>
              <w:top w:val="nil"/>
              <w:left w:val="nil"/>
              <w:bottom w:val="nil"/>
              <w:right w:val="nil"/>
            </w:tcBorders>
            <w:shd w:val="clear" w:color="auto" w:fill="auto"/>
            <w:noWrap/>
            <w:vAlign w:val="bottom"/>
            <w:hideMark/>
          </w:tcPr>
          <w:p w14:paraId="7D522EB4"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54D6B570" w14:textId="77777777" w:rsidR="00AB4BD4" w:rsidRPr="006B2AFA" w:rsidRDefault="00AB4BD4"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r>
      <w:tr w:rsidR="00AB4BD4" w:rsidRPr="006B2AFA" w14:paraId="0F4FB93F" w14:textId="77777777" w:rsidTr="00AB4BD4">
        <w:trPr>
          <w:trHeight w:val="300"/>
        </w:trPr>
        <w:tc>
          <w:tcPr>
            <w:tcW w:w="520" w:type="dxa"/>
            <w:tcBorders>
              <w:top w:val="nil"/>
              <w:left w:val="nil"/>
              <w:bottom w:val="nil"/>
              <w:right w:val="nil"/>
            </w:tcBorders>
            <w:shd w:val="clear" w:color="auto" w:fill="auto"/>
            <w:noWrap/>
            <w:vAlign w:val="bottom"/>
            <w:hideMark/>
          </w:tcPr>
          <w:p w14:paraId="015C4348"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center"/>
            <w:hideMark/>
          </w:tcPr>
          <w:p w14:paraId="4B8DC0C7" w14:textId="77777777" w:rsidR="00AB4BD4" w:rsidRDefault="00AB4BD4"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18295ECC" w14:textId="77777777" w:rsidR="00AB4BD4" w:rsidRPr="006B2AFA" w:rsidRDefault="00AB4BD4"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r>
      <w:tr w:rsidR="00AB4BD4" w:rsidRPr="006B2AFA" w14:paraId="2614A443" w14:textId="77777777" w:rsidTr="00AB4BD4">
        <w:trPr>
          <w:trHeight w:val="345"/>
        </w:trPr>
        <w:tc>
          <w:tcPr>
            <w:tcW w:w="520" w:type="dxa"/>
            <w:tcBorders>
              <w:top w:val="nil"/>
              <w:left w:val="nil"/>
              <w:bottom w:val="nil"/>
              <w:right w:val="nil"/>
            </w:tcBorders>
            <w:shd w:val="clear" w:color="auto" w:fill="auto"/>
            <w:noWrap/>
            <w:vAlign w:val="bottom"/>
            <w:hideMark/>
          </w:tcPr>
          <w:p w14:paraId="00826D73"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26AD73CD" w14:textId="77777777" w:rsidR="00AB4BD4" w:rsidRPr="006B2AFA" w:rsidRDefault="00AB4BD4" w:rsidP="006B2AFA">
            <w:pPr>
              <w:spacing w:after="0" w:line="240" w:lineRule="auto"/>
              <w:rPr>
                <w:rFonts w:eastAsia="Times New Roman" w:cs="Times New Roman"/>
                <w:color w:val="0070C0"/>
                <w:sz w:val="20"/>
                <w:szCs w:val="20"/>
              </w:rPr>
            </w:pPr>
          </w:p>
        </w:tc>
      </w:tr>
      <w:tr w:rsidR="00AB4BD4" w:rsidRPr="006B2AFA" w14:paraId="7DE942ED" w14:textId="77777777" w:rsidTr="00AB4BD4">
        <w:trPr>
          <w:trHeight w:val="244"/>
        </w:trPr>
        <w:tc>
          <w:tcPr>
            <w:tcW w:w="520" w:type="dxa"/>
            <w:tcBorders>
              <w:top w:val="nil"/>
              <w:left w:val="nil"/>
              <w:bottom w:val="nil"/>
              <w:right w:val="nil"/>
            </w:tcBorders>
            <w:shd w:val="clear" w:color="auto" w:fill="auto"/>
            <w:noWrap/>
            <w:vAlign w:val="bottom"/>
            <w:hideMark/>
          </w:tcPr>
          <w:p w14:paraId="00EE61A1" w14:textId="77777777" w:rsidR="00AB4BD4" w:rsidRPr="006B2AFA" w:rsidRDefault="00AB4BD4" w:rsidP="006B2AFA">
            <w:pPr>
              <w:spacing w:after="0" w:line="240" w:lineRule="auto"/>
              <w:rPr>
                <w:rFonts w:ascii="Calibri" w:eastAsia="Times New Roman" w:hAnsi="Calibri" w:cs="Times New Roman"/>
                <w:b/>
                <w:bCs/>
                <w:color w:val="000000"/>
              </w:rPr>
            </w:pPr>
          </w:p>
        </w:tc>
        <w:tc>
          <w:tcPr>
            <w:tcW w:w="9467" w:type="dxa"/>
            <w:tcBorders>
              <w:top w:val="nil"/>
              <w:left w:val="nil"/>
              <w:bottom w:val="nil"/>
              <w:right w:val="nil"/>
            </w:tcBorders>
            <w:shd w:val="clear" w:color="auto" w:fill="auto"/>
            <w:vAlign w:val="bottom"/>
            <w:hideMark/>
          </w:tcPr>
          <w:p w14:paraId="5424154F" w14:textId="77777777" w:rsidR="00AB4BD4" w:rsidRPr="006B2AFA" w:rsidRDefault="00AB4BD4" w:rsidP="006B2AFA">
            <w:pPr>
              <w:spacing w:after="0" w:line="240" w:lineRule="auto"/>
              <w:rPr>
                <w:rFonts w:eastAsia="Times New Roman" w:cs="Times New Roman"/>
                <w:color w:val="0070C0"/>
                <w:sz w:val="20"/>
                <w:szCs w:val="20"/>
              </w:rPr>
            </w:pPr>
          </w:p>
        </w:tc>
      </w:tr>
    </w:tbl>
    <w:p w14:paraId="78B98065" w14:textId="77777777" w:rsidR="00254EC3" w:rsidRDefault="00254EC3"/>
    <w:sectPr w:rsidR="00254EC3" w:rsidSect="003324FE">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75C54" w14:textId="77777777" w:rsidR="003324FE" w:rsidRDefault="003324FE" w:rsidP="006B2AFA">
      <w:pPr>
        <w:spacing w:after="0" w:line="240" w:lineRule="auto"/>
      </w:pPr>
      <w:r>
        <w:separator/>
      </w:r>
    </w:p>
  </w:endnote>
  <w:endnote w:type="continuationSeparator" w:id="0">
    <w:p w14:paraId="6ED97FC4" w14:textId="77777777" w:rsidR="003324FE" w:rsidRDefault="003324FE"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Frutiger-Light">
    <w:panose1 w:val="020B0604020202020204"/>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14:paraId="5A4C4868"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B82948C"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CB198" w14:textId="77777777" w:rsidR="003324FE" w:rsidRDefault="003324FE" w:rsidP="006B2AFA">
      <w:pPr>
        <w:spacing w:after="0" w:line="240" w:lineRule="auto"/>
      </w:pPr>
      <w:r>
        <w:separator/>
      </w:r>
    </w:p>
  </w:footnote>
  <w:footnote w:type="continuationSeparator" w:id="0">
    <w:p w14:paraId="36DD0592" w14:textId="77777777" w:rsidR="003324FE" w:rsidRDefault="003324FE" w:rsidP="006B2A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A2CA8"/>
    <w:multiLevelType w:val="hybridMultilevel"/>
    <w:tmpl w:val="D11CA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8054B6"/>
    <w:multiLevelType w:val="hybridMultilevel"/>
    <w:tmpl w:val="985CA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8894133">
    <w:abstractNumId w:val="0"/>
  </w:num>
  <w:num w:numId="2" w16cid:durableId="1156989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254EC3"/>
    <w:rsid w:val="003324FE"/>
    <w:rsid w:val="003D6CF8"/>
    <w:rsid w:val="003E3A13"/>
    <w:rsid w:val="006B2AFA"/>
    <w:rsid w:val="00731B4E"/>
    <w:rsid w:val="00960C97"/>
    <w:rsid w:val="00A74E8F"/>
    <w:rsid w:val="00AB4BD4"/>
    <w:rsid w:val="00BA4830"/>
    <w:rsid w:val="00BA79FD"/>
    <w:rsid w:val="00DA0E13"/>
    <w:rsid w:val="00DA4FBD"/>
    <w:rsid w:val="00F23D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09260"/>
  <w15:docId w15:val="{CFEEB775-2C35-47C3-924F-A4B0E8F7C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ListParagraph">
    <w:name w:val="List Paragraph"/>
    <w:basedOn w:val="Normal"/>
    <w:uiPriority w:val="34"/>
    <w:qFormat/>
    <w:rsid w:val="00F23D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quator-network.org/reporting-guidelines/srq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1331</Words>
  <Characters>7591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8905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Susan Eller</cp:lastModifiedBy>
  <cp:revision>6</cp:revision>
  <dcterms:created xsi:type="dcterms:W3CDTF">2024-04-29T15:57:00Z</dcterms:created>
  <dcterms:modified xsi:type="dcterms:W3CDTF">2024-04-30T15:07:00Z</dcterms:modified>
</cp:coreProperties>
</file>